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A1" w:rsidRPr="002612A1" w:rsidRDefault="002612A1" w:rsidP="002612A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6"/>
          <w:szCs w:val="36"/>
          <w:lang w:val="en-US"/>
        </w:rPr>
      </w:pPr>
      <w:proofErr w:type="spellStart"/>
      <w:r w:rsidRPr="002612A1">
        <w:rPr>
          <w:rFonts w:ascii="Arial" w:eastAsia="Times New Roman" w:hAnsi="Arial" w:cs="Arial"/>
          <w:color w:val="333333"/>
          <w:sz w:val="36"/>
          <w:szCs w:val="36"/>
          <w:lang w:val="en-US"/>
        </w:rPr>
        <w:t>Diplomaţie</w:t>
      </w:r>
      <w:proofErr w:type="spellEnd"/>
      <w:r w:rsidRPr="002612A1">
        <w:rPr>
          <w:rFonts w:ascii="Arial" w:eastAsia="Times New Roman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2612A1">
        <w:rPr>
          <w:rFonts w:ascii="Arial" w:eastAsia="Times New Roman" w:hAnsi="Arial" w:cs="Arial"/>
          <w:color w:val="333333"/>
          <w:sz w:val="36"/>
          <w:szCs w:val="36"/>
          <w:lang w:val="en-US"/>
        </w:rPr>
        <w:t>prin</w:t>
      </w:r>
      <w:proofErr w:type="spellEnd"/>
      <w:r w:rsidRPr="002612A1">
        <w:rPr>
          <w:rFonts w:ascii="Arial" w:eastAsia="Times New Roman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2612A1">
        <w:rPr>
          <w:rFonts w:ascii="Arial" w:eastAsia="Times New Roman" w:hAnsi="Arial" w:cs="Arial"/>
          <w:color w:val="333333"/>
          <w:sz w:val="36"/>
          <w:szCs w:val="36"/>
          <w:lang w:val="en-US"/>
        </w:rPr>
        <w:t>cultură</w:t>
      </w:r>
      <w:proofErr w:type="spellEnd"/>
    </w:p>
    <w:p w:rsidR="002612A1" w:rsidRPr="002612A1" w:rsidRDefault="002612A1" w:rsidP="002612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14"/>
          <w:szCs w:val="14"/>
          <w:lang w:val="en-US"/>
        </w:rPr>
      </w:pPr>
      <w:hyperlink r:id="rId4" w:history="1">
        <w:proofErr w:type="spellStart"/>
        <w:r w:rsidRPr="002612A1">
          <w:rPr>
            <w:rFonts w:ascii="Arial" w:eastAsia="Times New Roman" w:hAnsi="Arial" w:cs="Arial"/>
            <w:color w:val="970606"/>
            <w:spacing w:val="-12"/>
            <w:lang w:val="en-US"/>
          </w:rPr>
          <w:t>Petre</w:t>
        </w:r>
        <w:proofErr w:type="spellEnd"/>
        <w:r w:rsidRPr="002612A1">
          <w:rPr>
            <w:rFonts w:ascii="Arial" w:eastAsia="Times New Roman" w:hAnsi="Arial" w:cs="Arial"/>
            <w:b/>
            <w:bCs/>
            <w:color w:val="970606"/>
            <w:spacing w:val="-12"/>
            <w:lang w:val="en-US"/>
          </w:rPr>
          <w:t> </w:t>
        </w:r>
        <w:proofErr w:type="spellStart"/>
        <w:r w:rsidRPr="002612A1">
          <w:rPr>
            <w:rFonts w:ascii="Arial" w:eastAsia="Times New Roman" w:hAnsi="Arial" w:cs="Arial"/>
            <w:b/>
            <w:bCs/>
            <w:color w:val="970606"/>
            <w:spacing w:val="-12"/>
            <w:lang w:val="en-US"/>
          </w:rPr>
          <w:t>Guran</w:t>
        </w:r>
        <w:proofErr w:type="spellEnd"/>
      </w:hyperlink>
    </w:p>
    <w:p w:rsidR="002612A1" w:rsidRPr="002612A1" w:rsidRDefault="002612A1" w:rsidP="002612A1">
      <w:pPr>
        <w:spacing w:after="0" w:line="240" w:lineRule="auto"/>
        <w:textAlignment w:val="baseline"/>
        <w:rPr>
          <w:rFonts w:ascii="inherit" w:eastAsia="Times New Roman" w:hAnsi="inherit" w:cs="Arial"/>
          <w:i/>
          <w:iCs/>
          <w:color w:val="737272"/>
          <w:sz w:val="13"/>
          <w:szCs w:val="13"/>
          <w:lang w:val="en-US"/>
        </w:rPr>
      </w:pPr>
      <w:r w:rsidRPr="002612A1">
        <w:rPr>
          <w:rFonts w:ascii="inherit" w:eastAsia="Times New Roman" w:hAnsi="inherit" w:cs="Arial"/>
          <w:b/>
          <w:bCs/>
          <w:i/>
          <w:iCs/>
          <w:color w:val="737272"/>
          <w:sz w:val="13"/>
          <w:szCs w:val="13"/>
          <w:lang w:val="en-US"/>
        </w:rPr>
        <w:t>2011-10-25</w:t>
      </w:r>
    </w:p>
    <w:p w:rsidR="002612A1" w:rsidRPr="002612A1" w:rsidRDefault="002612A1" w:rsidP="002612A1">
      <w:pPr>
        <w:spacing w:after="0" w:line="240" w:lineRule="auto"/>
        <w:textAlignment w:val="baseline"/>
        <w:rPr>
          <w:rFonts w:ascii="inherit" w:eastAsia="Times New Roman" w:hAnsi="inherit" w:cs="Arial"/>
          <w:i/>
          <w:iCs/>
          <w:color w:val="737272"/>
          <w:sz w:val="13"/>
          <w:szCs w:val="13"/>
          <w:lang w:val="en-US"/>
        </w:rPr>
      </w:pPr>
      <w:r w:rsidRPr="002612A1">
        <w:rPr>
          <w:rFonts w:ascii="inherit" w:eastAsia="Times New Roman" w:hAnsi="inherit" w:cs="Arial"/>
          <w:b/>
          <w:bCs/>
          <w:i/>
          <w:iCs/>
          <w:color w:val="737272"/>
          <w:sz w:val="13"/>
          <w:szCs w:val="13"/>
          <w:lang w:val="en-US"/>
        </w:rPr>
        <w:t>0</w:t>
      </w:r>
    </w:p>
    <w:p w:rsidR="002612A1" w:rsidRPr="002612A1" w:rsidRDefault="002612A1" w:rsidP="002612A1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sz w:val="14"/>
          <w:szCs w:val="14"/>
          <w:lang w:val="en-US"/>
        </w:rPr>
      </w:pPr>
      <w:hyperlink r:id="rId5" w:history="1">
        <w:r w:rsidRPr="002612A1">
          <w:rPr>
            <w:rFonts w:ascii="Arial" w:eastAsia="Times New Roman" w:hAnsi="Arial" w:cs="Arial"/>
            <w:b/>
            <w:bCs/>
            <w:color w:val="B00606"/>
            <w:sz w:val="19"/>
            <w:lang w:val="en-US"/>
          </w:rPr>
          <w:t>PE ACEEASI TEMA</w:t>
        </w:r>
      </w:hyperlink>
    </w:p>
    <w:p w:rsidR="002612A1" w:rsidRPr="002612A1" w:rsidRDefault="002612A1" w:rsidP="002612A1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sz w:val="14"/>
          <w:szCs w:val="14"/>
          <w:lang w:val="en-US"/>
        </w:rPr>
      </w:pPr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t>■</w:t>
      </w:r>
      <w:r w:rsidRPr="002612A1">
        <w:rPr>
          <w:rFonts w:ascii="inherit" w:eastAsia="Times New Roman" w:hAnsi="inherit" w:cs="Times New Roman"/>
          <w:sz w:val="14"/>
          <w:lang w:val="en-US"/>
        </w:rPr>
        <w:t> </w:t>
      </w:r>
      <w:proofErr w:type="spellStart"/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fldChar w:fldCharType="begin"/>
      </w:r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instrText xml:space="preserve"> HYPERLINK "http://revista22.ro/11769/.html" </w:instrText>
      </w:r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fldChar w:fldCharType="separate"/>
      </w:r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Fostă</w:t>
      </w:r>
      <w:proofErr w:type="spell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 xml:space="preserve"> parte a </w:t>
      </w:r>
      <w:proofErr w:type="spellStart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României</w:t>
      </w:r>
      <w:proofErr w:type="spell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 xml:space="preserve">, </w:t>
      </w:r>
      <w:proofErr w:type="spellStart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viitoare</w:t>
      </w:r>
      <w:proofErr w:type="spell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 xml:space="preserve"> parte a </w:t>
      </w:r>
      <w:proofErr w:type="spellStart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Europei</w:t>
      </w:r>
      <w:proofErr w:type="spellEnd"/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fldChar w:fldCharType="end"/>
      </w:r>
    </w:p>
    <w:p w:rsidR="002612A1" w:rsidRPr="002612A1" w:rsidRDefault="002612A1" w:rsidP="002612A1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sz w:val="14"/>
          <w:szCs w:val="14"/>
          <w:lang w:val="en-US"/>
        </w:rPr>
      </w:pPr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t>■</w:t>
      </w:r>
      <w:r w:rsidRPr="002612A1">
        <w:rPr>
          <w:rFonts w:ascii="inherit" w:eastAsia="Times New Roman" w:hAnsi="inherit" w:cs="Times New Roman"/>
          <w:sz w:val="14"/>
          <w:lang w:val="en-US"/>
        </w:rPr>
        <w:t> </w:t>
      </w:r>
      <w:hyperlink r:id="rId6" w:history="1"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 xml:space="preserve">Note </w:t>
        </w:r>
        <w:proofErr w:type="spellStart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>despre</w:t>
        </w:r>
        <w:proofErr w:type="spellEnd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 xml:space="preserve"> </w:t>
        </w:r>
        <w:proofErr w:type="spellStart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>Republica</w:t>
        </w:r>
        <w:proofErr w:type="spellEnd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 xml:space="preserve"> Moldova</w:t>
        </w:r>
      </w:hyperlink>
    </w:p>
    <w:p w:rsidR="002612A1" w:rsidRPr="002612A1" w:rsidRDefault="002612A1" w:rsidP="002612A1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sz w:val="14"/>
          <w:szCs w:val="14"/>
          <w:lang w:val="en-US"/>
        </w:rPr>
      </w:pPr>
      <w:proofErr w:type="gramStart"/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t>■</w:t>
      </w:r>
      <w:r w:rsidRPr="002612A1">
        <w:rPr>
          <w:rFonts w:ascii="inherit" w:eastAsia="Times New Roman" w:hAnsi="inherit" w:cs="Times New Roman"/>
          <w:sz w:val="14"/>
          <w:lang w:val="en-US"/>
        </w:rPr>
        <w:t> </w:t>
      </w:r>
      <w:proofErr w:type="spellStart"/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fldChar w:fldCharType="begin"/>
      </w:r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instrText xml:space="preserve"> HYPERLINK "http://revista22.ro/11766/.html" </w:instrText>
      </w:r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fldChar w:fldCharType="separate"/>
      </w:r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Comunismul</w:t>
      </w:r>
      <w:proofErr w:type="spell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 xml:space="preserve"> </w:t>
      </w:r>
      <w:proofErr w:type="spellStart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şi</w:t>
      </w:r>
      <w:proofErr w:type="spell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 xml:space="preserve"> </w:t>
      </w:r>
      <w:proofErr w:type="spellStart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decomunizarea</w:t>
      </w:r>
      <w:proofErr w:type="spell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 xml:space="preserve"> </w:t>
      </w:r>
      <w:proofErr w:type="spellStart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în</w:t>
      </w:r>
      <w:proofErr w:type="spell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 xml:space="preserve"> </w:t>
      </w:r>
      <w:proofErr w:type="spellStart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Republica</w:t>
      </w:r>
      <w:proofErr w:type="spell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 xml:space="preserve"> Moldova.</w:t>
      </w:r>
      <w:proofErr w:type="gram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 xml:space="preserve"> </w:t>
      </w:r>
      <w:proofErr w:type="spellStart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Povestea</w:t>
      </w:r>
      <w:proofErr w:type="spell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 xml:space="preserve"> </w:t>
      </w:r>
      <w:proofErr w:type="spellStart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continuă</w:t>
      </w:r>
      <w:proofErr w:type="spellEnd"/>
      <w:r w:rsidRPr="002612A1">
        <w:rPr>
          <w:rFonts w:ascii="Arial" w:eastAsia="Times New Roman" w:hAnsi="Arial" w:cs="Arial"/>
          <w:b/>
          <w:bCs/>
          <w:color w:val="505354"/>
          <w:sz w:val="17"/>
          <w:lang w:val="en-US"/>
        </w:rPr>
        <w:t>…</w:t>
      </w:r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fldChar w:fldCharType="end"/>
      </w:r>
    </w:p>
    <w:p w:rsidR="002612A1" w:rsidRPr="002612A1" w:rsidRDefault="002612A1" w:rsidP="002612A1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sz w:val="14"/>
          <w:szCs w:val="14"/>
          <w:lang w:val="en-US"/>
        </w:rPr>
      </w:pPr>
      <w:r w:rsidRPr="002612A1">
        <w:rPr>
          <w:rFonts w:ascii="inherit" w:eastAsia="Times New Roman" w:hAnsi="inherit" w:cs="Times New Roman"/>
          <w:sz w:val="14"/>
          <w:szCs w:val="14"/>
          <w:lang w:val="en-US"/>
        </w:rPr>
        <w:t>■</w:t>
      </w:r>
      <w:r w:rsidRPr="002612A1">
        <w:rPr>
          <w:rFonts w:ascii="inherit" w:eastAsia="Times New Roman" w:hAnsi="inherit" w:cs="Times New Roman"/>
          <w:sz w:val="14"/>
          <w:lang w:val="en-US"/>
        </w:rPr>
        <w:t> </w:t>
      </w:r>
      <w:hyperlink r:id="rId7" w:history="1"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>„</w:t>
        </w:r>
        <w:proofErr w:type="spellStart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>Obiectivul</w:t>
        </w:r>
        <w:proofErr w:type="spellEnd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 xml:space="preserve"> </w:t>
        </w:r>
        <w:proofErr w:type="spellStart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>nostru</w:t>
        </w:r>
        <w:proofErr w:type="spellEnd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 xml:space="preserve"> strategic </w:t>
        </w:r>
        <w:proofErr w:type="spellStart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>este</w:t>
        </w:r>
        <w:proofErr w:type="spellEnd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 xml:space="preserve"> </w:t>
        </w:r>
        <w:proofErr w:type="spellStart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>integrarea</w:t>
        </w:r>
        <w:proofErr w:type="spellEnd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 xml:space="preserve"> </w:t>
        </w:r>
        <w:proofErr w:type="spellStart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>europeană</w:t>
        </w:r>
        <w:proofErr w:type="spellEnd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 xml:space="preserve"> a </w:t>
        </w:r>
        <w:proofErr w:type="spellStart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>Republicii</w:t>
        </w:r>
        <w:proofErr w:type="spellEnd"/>
        <w:r w:rsidRPr="002612A1">
          <w:rPr>
            <w:rFonts w:ascii="Arial" w:eastAsia="Times New Roman" w:hAnsi="Arial" w:cs="Arial"/>
            <w:b/>
            <w:bCs/>
            <w:color w:val="505354"/>
            <w:sz w:val="17"/>
            <w:lang w:val="en-US"/>
          </w:rPr>
          <w:t xml:space="preserve"> Moldova“</w:t>
        </w:r>
      </w:hyperlink>
    </w:p>
    <w:p w:rsidR="002612A1" w:rsidRPr="002612A1" w:rsidRDefault="002612A1" w:rsidP="002612A1">
      <w:pPr>
        <w:spacing w:after="0" w:line="288" w:lineRule="atLeast"/>
        <w:textAlignment w:val="baseline"/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</w:pPr>
      <w:r>
        <w:rPr>
          <w:rFonts w:ascii="inherit" w:eastAsia="Times New Roman" w:hAnsi="inherit" w:cs="Arial"/>
          <w:i/>
          <w:iCs/>
          <w:noProof/>
          <w:color w:val="666666"/>
          <w:sz w:val="17"/>
          <w:szCs w:val="17"/>
          <w:bdr w:val="none" w:sz="0" w:space="0" w:color="auto" w:frame="1"/>
          <w:lang w:val="en-US"/>
        </w:rPr>
        <w:drawing>
          <wp:inline distT="0" distB="0" distL="0" distR="0">
            <wp:extent cx="1905000" cy="1432560"/>
            <wp:effectExtent l="19050" t="0" r="0" b="0"/>
            <wp:docPr id="1" name="Picture 1" descr="http://www.revista22.ro/nou/imagini/autori/petre-gu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ista22.ro/nou/imagini/autori/petre-gur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genere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diplomaţia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culturală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spune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mai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multe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despre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proofErr w:type="gram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ţara</w:t>
      </w:r>
      <w:proofErr w:type="spellEnd"/>
      <w:proofErr w:type="gram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care o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practică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decât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despre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ţara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căreia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i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se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adresează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. Ea </w:t>
      </w:r>
      <w:proofErr w:type="spellStart"/>
      <w:proofErr w:type="gram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este</w:t>
      </w:r>
      <w:proofErr w:type="spellEnd"/>
      <w:proofErr w:type="gram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pe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de o parte,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semnul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maturităţii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puterii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economice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politice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unui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stat,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dar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un bun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barometru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al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intensităţii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sincerităţii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relaţiilor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dintre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statele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între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 xml:space="preserve"> care se </w:t>
      </w:r>
      <w:proofErr w:type="spellStart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practică</w:t>
      </w:r>
      <w:proofErr w:type="spellEnd"/>
      <w:r w:rsidRPr="002612A1">
        <w:rPr>
          <w:rFonts w:ascii="inherit" w:eastAsia="Times New Roman" w:hAnsi="inherit" w:cs="Arial"/>
          <w:i/>
          <w:iCs/>
          <w:color w:val="666666"/>
          <w:sz w:val="17"/>
          <w:lang w:val="en-US"/>
        </w:rPr>
        <w:t>.</w:t>
      </w:r>
    </w:p>
    <w:p w:rsidR="002612A1" w:rsidRPr="002612A1" w:rsidRDefault="002612A1" w:rsidP="002612A1">
      <w:pPr>
        <w:spacing w:after="0" w:line="288" w:lineRule="atLeast"/>
        <w:textAlignment w:val="baseline"/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</w:pP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Atunci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când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România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ajunsese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la o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strategie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diplomatico-culturală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reflectând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noile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realităţi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politice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(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integrarea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euro-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atlantică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),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primul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deceniu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secolului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XXI,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Republica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Moldova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-a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redus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la maximum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disponibilitatea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</w:t>
      </w:r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înţelege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accepta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noua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identitate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politică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României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.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Miza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politică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nu o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discut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aici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dar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aspectul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cultural 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acestei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răceli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era o „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răfuială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identitară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“. </w:t>
      </w:r>
      <w:proofErr w:type="spellStart"/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Adică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cui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aparţine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tradiţia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expresie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</w:t>
      </w:r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softHyphen/>
        <w:t>nească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României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sau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Republicii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Moldova,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sau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cât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expresia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</w:t>
      </w:r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softHyphen/>
        <w:t>nească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poate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fi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reclamat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identitatea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moldovenească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?</w:t>
      </w:r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Disputa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amintea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argumentul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legendarului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cuceritor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Alexandriei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când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luat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decizia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</w:t>
      </w:r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arde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celebra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bibliotecă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: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dacă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conţine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biblioteca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repetă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ştiu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Cartea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Sfântă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atunci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inutilă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dacă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o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contrazice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atunci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periculoasă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.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Răfuiala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aceasta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identitară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însă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nu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opunea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adevărat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două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state,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trecea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prin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mijlocul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societăţii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cultivate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Republica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Moldova.</w:t>
      </w:r>
    </w:p>
    <w:p w:rsidR="002612A1" w:rsidRPr="002612A1" w:rsidRDefault="002612A1" w:rsidP="002612A1">
      <w:pPr>
        <w:spacing w:after="0" w:line="288" w:lineRule="atLeast"/>
        <w:textAlignment w:val="baseline"/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</w:pP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Pentru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o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bună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parte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aceasta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amintirea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</w:t>
      </w:r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softHyphen/>
        <w:t>niei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Mari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devenise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</w:t>
      </w:r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crez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politic,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sinonim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urmă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libertate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democraţie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.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acest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context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tensionat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oferta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românească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presupus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demersuri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elementare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precum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facilitarea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accesului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la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informaţie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mod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regretabil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percepută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fiind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agresivă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către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cealaltă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parte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societăţii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care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refuza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se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identifice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expresia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</w:t>
      </w:r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softHyphen/>
        <w:t>nească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.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Dilemele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identitare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care le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descrie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le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evocă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Tamara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Cărăuş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Capcanele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identităţii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nu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traversează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însă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societatea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opunând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eventual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etnii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diferite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(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rusă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ucraineană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găgăuză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etc.),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sfâşie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fiecare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individ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între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nostalgia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patriei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sovietice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aspiraţia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spre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un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spaţiu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libertăţii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prosperităţii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puţin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cunoscut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.</w:t>
      </w:r>
    </w:p>
    <w:p w:rsidR="002612A1" w:rsidRPr="002612A1" w:rsidRDefault="002612A1" w:rsidP="002612A1">
      <w:pPr>
        <w:spacing w:after="0" w:line="288" w:lineRule="atLeast"/>
        <w:textAlignment w:val="baseline"/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</w:pP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acest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timp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România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prin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alegerile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sale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politice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urmare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contact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intens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lumea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occidentală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s-a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îndepărtat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treptat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proclamaţiilor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identitare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ba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chiar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început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să-şi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aleagă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propriul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trecut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temeiurile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europenităţi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dorite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cu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toată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sofisticarea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care o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presupune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.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Diplomaţia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României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contemporane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s-a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reconfigurat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jurul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valorilor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culturale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universale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învăţat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să</w:t>
      </w:r>
      <w:proofErr w:type="spellEnd"/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pună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lumină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tocmai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confluenţele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culturale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convieţuirile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etnice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experienţele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istorice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paradoxale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.</w:t>
      </w:r>
    </w:p>
    <w:p w:rsidR="002612A1" w:rsidRPr="002612A1" w:rsidRDefault="002612A1" w:rsidP="002612A1">
      <w:pPr>
        <w:spacing w:after="0" w:line="288" w:lineRule="atLeast"/>
        <w:textAlignment w:val="baseline"/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</w:pP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Astăzi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sosit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momentul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reîntâlnirii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dintre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România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Republica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Moldova,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contextul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nou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angajament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democratic,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prin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despărţirea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derivele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naţionaliste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ale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perioadei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interbelice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continuate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naţional-comunismul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Ceauşescu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graţie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aspiraţiilor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comune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către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orizontul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cultural 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societăţilor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deschise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.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Semnul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acestei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reîntâlniri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fost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organizarea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excepţionalei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expoziţii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obiect-simbol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–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Stindardul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liturgic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Ştefan</w:t>
      </w:r>
      <w:proofErr w:type="spellEnd"/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Mare –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printr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-o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cooperare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între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două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Muzee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istorie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Bucureşti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Chişinău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Institutul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Cultural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.</w:t>
      </w:r>
    </w:p>
    <w:p w:rsidR="002612A1" w:rsidRPr="002612A1" w:rsidRDefault="002612A1" w:rsidP="002612A1">
      <w:pPr>
        <w:spacing w:after="0" w:line="288" w:lineRule="atLeast"/>
        <w:textAlignment w:val="baseline"/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</w:pPr>
      <w:proofErr w:type="spellStart"/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acest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peisaj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tematica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regăsirii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propusă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Institutul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Cultural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Chişinău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priveşte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tocmai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depăşirea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clişeelor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identitare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.</w:t>
      </w:r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Este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vorba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o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regăsire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propriului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trecut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demnitatea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istorică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eliberat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cât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se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poate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lecturile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pătimaşe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ale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prezentului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.</w:t>
      </w:r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acest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spirit, ICR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Chişinău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propus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Ministerului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Republica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Moldova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altor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instituţii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potenţial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partenere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să</w:t>
      </w:r>
      <w:proofErr w:type="spellEnd"/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deschidă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un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şantier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restaurare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monument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istoric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major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Chişinău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.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Acest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şantier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fi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acelaşi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timp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o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şcoală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meşteşuguri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iar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obiectiv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final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clădirea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deveni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</w:t>
      </w:r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muzeu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dublat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un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centru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ştiinţific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(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Institut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Studii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Avansate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)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cultural. Este o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modalitate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</w:t>
      </w:r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integra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lastRenderedPageBreak/>
        <w:t>diplomaţia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culturală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românească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dinamismul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care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-l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imprimă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apartenenţa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la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Uniunea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Europeană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de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transforma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patrimoniul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cultural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într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-o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oportunitate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dezvoltare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.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Proiectul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aşteaptă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gram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</w:t>
      </w:r>
      <w:proofErr w:type="gram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răspuns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partea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autorităţilor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Republicii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Moldova.</w:t>
      </w:r>
    </w:p>
    <w:p w:rsidR="002612A1" w:rsidRPr="002612A1" w:rsidRDefault="002612A1" w:rsidP="002612A1">
      <w:pPr>
        <w:spacing w:after="0" w:line="288" w:lineRule="atLeast"/>
        <w:textAlignment w:val="baseline"/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</w:pP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Bilanţul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primului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este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încurajator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ţinând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cont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faptul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ICR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reuşit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stabilească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parteneriate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deruleze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activităţi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 un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număr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important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instituţii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rang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naţional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(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trei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muzee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din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Chişinău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patru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universităţi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biblioteca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naţională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trei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festivaluri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teatru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unul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jazz,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două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săli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concerte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cu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tradiţie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şi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două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festivaluri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de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muzică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clasică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două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cinematografe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, diverse ONG-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uri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),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dar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cea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mai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bună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răsplată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a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fost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căldura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 xml:space="preserve"> </w:t>
      </w:r>
      <w:proofErr w:type="spellStart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publicului</w:t>
      </w:r>
      <w:proofErr w:type="spellEnd"/>
      <w:r w:rsidRPr="002612A1">
        <w:rPr>
          <w:rFonts w:ascii="inherit" w:eastAsia="Times New Roman" w:hAnsi="inherit" w:cs="Arial"/>
          <w:color w:val="666666"/>
          <w:sz w:val="17"/>
          <w:szCs w:val="17"/>
          <w:bdr w:val="none" w:sz="0" w:space="0" w:color="auto" w:frame="1"/>
          <w:lang w:val="en-US"/>
        </w:rPr>
        <w:t>.</w:t>
      </w:r>
    </w:p>
    <w:p w:rsidR="006C5262" w:rsidRDefault="002612A1" w:rsidP="002612A1">
      <w:r w:rsidRPr="002612A1">
        <w:rPr>
          <w:rFonts w:ascii="inherit" w:eastAsia="Times New Roman" w:hAnsi="inherit" w:cs="Arial"/>
          <w:color w:val="333333"/>
          <w:sz w:val="14"/>
          <w:szCs w:val="14"/>
          <w:bdr w:val="none" w:sz="0" w:space="0" w:color="auto" w:frame="1"/>
          <w:lang w:val="en-US"/>
        </w:rPr>
        <w:br/>
      </w:r>
    </w:p>
    <w:sectPr w:rsidR="006C5262" w:rsidSect="006C5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2A1"/>
    <w:rsid w:val="00084A0F"/>
    <w:rsid w:val="000B28B3"/>
    <w:rsid w:val="00110709"/>
    <w:rsid w:val="001C297C"/>
    <w:rsid w:val="00223B15"/>
    <w:rsid w:val="002242AE"/>
    <w:rsid w:val="00243C3F"/>
    <w:rsid w:val="00247469"/>
    <w:rsid w:val="00252C5A"/>
    <w:rsid w:val="002612A1"/>
    <w:rsid w:val="002C4C60"/>
    <w:rsid w:val="0037220C"/>
    <w:rsid w:val="00374F1F"/>
    <w:rsid w:val="00457584"/>
    <w:rsid w:val="004F3CF6"/>
    <w:rsid w:val="00585510"/>
    <w:rsid w:val="00593EF2"/>
    <w:rsid w:val="005A00B5"/>
    <w:rsid w:val="005B07D9"/>
    <w:rsid w:val="005E6D01"/>
    <w:rsid w:val="005E6F99"/>
    <w:rsid w:val="005F0C55"/>
    <w:rsid w:val="006C5262"/>
    <w:rsid w:val="007638BB"/>
    <w:rsid w:val="007D2EEF"/>
    <w:rsid w:val="00837DA5"/>
    <w:rsid w:val="00876E18"/>
    <w:rsid w:val="008B62FE"/>
    <w:rsid w:val="008D59B6"/>
    <w:rsid w:val="00962519"/>
    <w:rsid w:val="00985C46"/>
    <w:rsid w:val="009934B4"/>
    <w:rsid w:val="009C5BAD"/>
    <w:rsid w:val="00AB4539"/>
    <w:rsid w:val="00B016CA"/>
    <w:rsid w:val="00B1440F"/>
    <w:rsid w:val="00B76B33"/>
    <w:rsid w:val="00B87740"/>
    <w:rsid w:val="00BF311F"/>
    <w:rsid w:val="00CA2359"/>
    <w:rsid w:val="00CF3D46"/>
    <w:rsid w:val="00D44AFA"/>
    <w:rsid w:val="00D9589A"/>
    <w:rsid w:val="00E46C7F"/>
    <w:rsid w:val="00F20998"/>
    <w:rsid w:val="00F656A1"/>
    <w:rsid w:val="00F8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6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12A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12A1"/>
  </w:style>
  <w:style w:type="paragraph" w:styleId="NormalWeb">
    <w:name w:val="Normal (Web)"/>
    <w:basedOn w:val="Normal"/>
    <w:uiPriority w:val="99"/>
    <w:semiHidden/>
    <w:unhideWhenUsed/>
    <w:rsid w:val="0026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612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A1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</w:divBdr>
          <w:divsChild>
            <w:div w:id="1293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FFFF"/>
                <w:right w:val="none" w:sz="0" w:space="0" w:color="auto"/>
              </w:divBdr>
              <w:divsChild>
                <w:div w:id="15827149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revista22.ro/11765/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22.ro/11768/.html" TargetMode="External"/><Relationship Id="rId5" Type="http://schemas.openxmlformats.org/officeDocument/2006/relationships/hyperlink" Target="http://revista22.ro/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evista22.ro/autor.php?s=Petre+Gur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2015-12-10T18:18:00Z</dcterms:created>
  <dcterms:modified xsi:type="dcterms:W3CDTF">2015-12-10T18:18:00Z</dcterms:modified>
</cp:coreProperties>
</file>